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BD" w:rsidRPr="00B67A35" w:rsidRDefault="00CC4BBD" w:rsidP="00B67A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2CC6" w:rsidRPr="00972CC6" w:rsidRDefault="00B67A35" w:rsidP="00972CC6">
      <w:pPr>
        <w:spacing w:after="0" w:line="240" w:lineRule="auto"/>
        <w:jc w:val="center"/>
        <w:rPr>
          <w:rFonts w:ascii="Arial" w:hAnsi="Arial" w:cs="Arial"/>
          <w:b/>
          <w:i/>
          <w:smallCaps/>
          <w:color w:val="FF0000"/>
          <w:sz w:val="24"/>
          <w:szCs w:val="24"/>
        </w:rPr>
      </w:pPr>
      <w:r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Informačný s</w:t>
      </w:r>
      <w:r w:rsidR="00CC4BBD"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 xml:space="preserve">eriál </w:t>
      </w:r>
      <w:r w:rsidR="00972CC6"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Združenia pestovateľov obilnín</w:t>
      </w:r>
    </w:p>
    <w:p w:rsidR="004C0166" w:rsidRPr="00972CC6" w:rsidRDefault="00CC4BBD" w:rsidP="00972CC6">
      <w:pPr>
        <w:spacing w:after="0" w:line="240" w:lineRule="auto"/>
        <w:jc w:val="center"/>
        <w:rPr>
          <w:rFonts w:ascii="Arial" w:hAnsi="Arial" w:cs="Arial"/>
          <w:b/>
          <w:i/>
          <w:smallCaps/>
          <w:color w:val="FF0000"/>
          <w:sz w:val="24"/>
          <w:szCs w:val="24"/>
        </w:rPr>
      </w:pPr>
      <w:r w:rsidRPr="00972CC6">
        <w:rPr>
          <w:rFonts w:ascii="Arial" w:hAnsi="Arial" w:cs="Arial"/>
          <w:b/>
          <w:i/>
          <w:smallCaps/>
          <w:color w:val="FF0000"/>
          <w:sz w:val="24"/>
          <w:szCs w:val="24"/>
        </w:rPr>
        <w:t>o budúcej Spoločnej poľnohospodárskej politike EÚ na roky 2021-2027</w:t>
      </w:r>
    </w:p>
    <w:p w:rsidR="00B67A35" w:rsidRPr="009A3BA8" w:rsidRDefault="00B67A35" w:rsidP="00B67A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2CC6" w:rsidRPr="0077136F" w:rsidRDefault="0077136F" w:rsidP="0077136F">
      <w:pPr>
        <w:pStyle w:val="Odsekzoznamu"/>
        <w:numPr>
          <w:ilvl w:val="0"/>
          <w:numId w:val="14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972CC6" w:rsidRPr="0077136F">
        <w:rPr>
          <w:rFonts w:ascii="Arial" w:hAnsi="Arial" w:cs="Arial"/>
          <w:b/>
          <w:sz w:val="28"/>
          <w:szCs w:val="28"/>
        </w:rPr>
        <w:t>ČASŤ:</w:t>
      </w:r>
    </w:p>
    <w:p w:rsidR="001A23D9" w:rsidRPr="003C501D" w:rsidRDefault="00886CFD" w:rsidP="003C501D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Prechodné obdobie a najbližšie roky</w:t>
      </w:r>
    </w:p>
    <w:p w:rsidR="00370DFB" w:rsidRDefault="00370DFB" w:rsidP="00370DFB">
      <w:pPr>
        <w:jc w:val="both"/>
        <w:rPr>
          <w:rFonts w:ascii="Arial" w:hAnsi="Arial" w:cs="Arial"/>
          <w:sz w:val="24"/>
          <w:szCs w:val="24"/>
        </w:rPr>
      </w:pPr>
    </w:p>
    <w:p w:rsidR="00E00D1B" w:rsidRDefault="002B2E05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Aktuálne programové obdobie 2013-2020 sa končí. No vzhľadom na súčasný stav v procese schvaľovania základnej legislatívy pre Spoločnú poľnohospodársku politiku na roky 2021-2027 (viď </w:t>
      </w:r>
      <w:r w:rsidRPr="002B2E05">
        <w:rPr>
          <w:rFonts w:ascii="Arial" w:hAnsi="Arial" w:cs="Arial"/>
          <w:color w:val="002060"/>
          <w:sz w:val="24"/>
          <w:szCs w:val="24"/>
        </w:rPr>
        <w:t xml:space="preserve">9.časť nášho </w:t>
      </w:r>
      <w:proofErr w:type="spellStart"/>
      <w:r w:rsidRPr="002B2E05">
        <w:rPr>
          <w:rFonts w:ascii="Arial" w:hAnsi="Arial" w:cs="Arial"/>
          <w:color w:val="002060"/>
          <w:sz w:val="24"/>
          <w:szCs w:val="24"/>
        </w:rPr>
        <w:t>infoseriálu</w:t>
      </w:r>
      <w:proofErr w:type="spellEnd"/>
      <w:r>
        <w:rPr>
          <w:rFonts w:ascii="Arial" w:hAnsi="Arial" w:cs="Arial"/>
          <w:sz w:val="24"/>
          <w:szCs w:val="24"/>
        </w:rPr>
        <w:t xml:space="preserve">), je </w:t>
      </w:r>
      <w:r w:rsidR="008C56BC">
        <w:rPr>
          <w:rFonts w:ascii="Arial" w:hAnsi="Arial" w:cs="Arial"/>
          <w:sz w:val="24"/>
          <w:szCs w:val="24"/>
        </w:rPr>
        <w:t xml:space="preserve">aj Európskej Komisii </w:t>
      </w:r>
      <w:r>
        <w:rPr>
          <w:rFonts w:ascii="Arial" w:hAnsi="Arial" w:cs="Arial"/>
          <w:sz w:val="24"/>
          <w:szCs w:val="24"/>
        </w:rPr>
        <w:t xml:space="preserve">zrejmé, že sa s jej uplatňovaním nezačne od </w:t>
      </w:r>
      <w:r w:rsidR="008C56B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1. januára 2021. </w:t>
      </w:r>
      <w:r w:rsidR="008C56BC">
        <w:rPr>
          <w:rFonts w:ascii="Arial" w:hAnsi="Arial" w:cs="Arial"/>
          <w:sz w:val="24"/>
          <w:szCs w:val="24"/>
        </w:rPr>
        <w:t>Preto j</w:t>
      </w:r>
      <w:r>
        <w:rPr>
          <w:rFonts w:ascii="Arial" w:hAnsi="Arial" w:cs="Arial"/>
          <w:sz w:val="24"/>
          <w:szCs w:val="24"/>
        </w:rPr>
        <w:t>e potrebné naplánovať prechodné obdobie a</w:t>
      </w:r>
      <w:r w:rsidR="006B0A29">
        <w:rPr>
          <w:rFonts w:ascii="Arial" w:hAnsi="Arial" w:cs="Arial"/>
          <w:sz w:val="24"/>
          <w:szCs w:val="24"/>
        </w:rPr>
        <w:t xml:space="preserve"> dočasné </w:t>
      </w:r>
      <w:r>
        <w:rPr>
          <w:rFonts w:ascii="Arial" w:hAnsi="Arial" w:cs="Arial"/>
          <w:sz w:val="24"/>
          <w:szCs w:val="24"/>
        </w:rPr>
        <w:t>pravidlá SPP</w:t>
      </w:r>
      <w:r w:rsidR="008C56BC">
        <w:rPr>
          <w:rFonts w:ascii="Arial" w:hAnsi="Arial" w:cs="Arial"/>
          <w:sz w:val="24"/>
          <w:szCs w:val="24"/>
        </w:rPr>
        <w:t xml:space="preserve"> tak, aby sa zabezpečila kontinuita poľnohospodárstva v únii </w:t>
      </w:r>
      <w:r>
        <w:rPr>
          <w:rFonts w:ascii="Arial" w:hAnsi="Arial" w:cs="Arial"/>
          <w:sz w:val="24"/>
          <w:szCs w:val="24"/>
        </w:rPr>
        <w:t>až do spustenia nových pravidiel.</w:t>
      </w:r>
    </w:p>
    <w:p w:rsidR="002B2E05" w:rsidRDefault="002B2E05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E05" w:rsidRDefault="002B2E05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Dňa </w:t>
      </w:r>
      <w:r w:rsidRPr="008C56BC">
        <w:rPr>
          <w:rFonts w:ascii="Arial" w:hAnsi="Arial" w:cs="Arial"/>
          <w:b/>
          <w:sz w:val="24"/>
          <w:szCs w:val="24"/>
        </w:rPr>
        <w:t>31.10. 2019</w:t>
      </w:r>
      <w:r>
        <w:rPr>
          <w:rFonts w:ascii="Arial" w:hAnsi="Arial" w:cs="Arial"/>
          <w:sz w:val="24"/>
          <w:szCs w:val="24"/>
        </w:rPr>
        <w:t xml:space="preserve"> predložila Európska Komisia návrh na </w:t>
      </w:r>
      <w:r w:rsidRPr="002B2E05">
        <w:rPr>
          <w:rFonts w:ascii="Arial" w:hAnsi="Arial" w:cs="Arial"/>
          <w:b/>
          <w:sz w:val="24"/>
          <w:szCs w:val="24"/>
        </w:rPr>
        <w:t>jednoročné prechodné obdobie</w:t>
      </w:r>
      <w:r>
        <w:rPr>
          <w:rFonts w:ascii="Arial" w:hAnsi="Arial" w:cs="Arial"/>
          <w:sz w:val="24"/>
          <w:szCs w:val="24"/>
        </w:rPr>
        <w:t xml:space="preserve">, podľa ktorého sa nový právny rámec začne uplatňovať od </w:t>
      </w:r>
      <w:r w:rsidR="008C56BC">
        <w:rPr>
          <w:rFonts w:ascii="Arial" w:hAnsi="Arial" w:cs="Arial"/>
          <w:b/>
          <w:sz w:val="24"/>
          <w:szCs w:val="24"/>
        </w:rPr>
        <w:t>1.januára 2022</w:t>
      </w:r>
      <w:r>
        <w:rPr>
          <w:rFonts w:ascii="Arial" w:hAnsi="Arial" w:cs="Arial"/>
          <w:sz w:val="24"/>
          <w:szCs w:val="24"/>
        </w:rPr>
        <w:t>. To znamená, že prechod</w:t>
      </w:r>
      <w:r w:rsidR="008C56BC">
        <w:rPr>
          <w:rFonts w:ascii="Arial" w:hAnsi="Arial" w:cs="Arial"/>
          <w:sz w:val="24"/>
          <w:szCs w:val="24"/>
        </w:rPr>
        <w:t>ný rok by mal byť práve rok 2021</w:t>
      </w:r>
      <w:r>
        <w:rPr>
          <w:rFonts w:ascii="Arial" w:hAnsi="Arial" w:cs="Arial"/>
          <w:sz w:val="24"/>
          <w:szCs w:val="24"/>
        </w:rPr>
        <w:t xml:space="preserve">. S týmto návrhom však nesúhlasí väčšina ministrov poľnohospodárstva členských krajín, </w:t>
      </w:r>
      <w:proofErr w:type="spellStart"/>
      <w:r>
        <w:rPr>
          <w:rFonts w:ascii="Arial" w:hAnsi="Arial" w:cs="Arial"/>
          <w:sz w:val="24"/>
          <w:szCs w:val="24"/>
        </w:rPr>
        <w:t>o.i</w:t>
      </w:r>
      <w:proofErr w:type="spellEnd"/>
      <w:r>
        <w:rPr>
          <w:rFonts w:ascii="Arial" w:hAnsi="Arial" w:cs="Arial"/>
          <w:sz w:val="24"/>
          <w:szCs w:val="24"/>
        </w:rPr>
        <w:t>. aj Slovensko, ktorí požadujú dlhšie obdobie na prípravu. Okrem pripravených národných strategických plánov pre schválenie Európskou Komisiou, by totiž toto obdobie mali štáty venova</w:t>
      </w:r>
      <w:r w:rsidR="008C0D10">
        <w:rPr>
          <w:rFonts w:ascii="Arial" w:hAnsi="Arial" w:cs="Arial"/>
          <w:sz w:val="24"/>
          <w:szCs w:val="24"/>
        </w:rPr>
        <w:t>ť aj prípravným procesom na</w:t>
      </w:r>
      <w:r>
        <w:rPr>
          <w:rFonts w:ascii="Arial" w:hAnsi="Arial" w:cs="Arial"/>
          <w:sz w:val="24"/>
          <w:szCs w:val="24"/>
        </w:rPr>
        <w:t xml:space="preserve"> platobných agentúr</w:t>
      </w:r>
      <w:r w:rsidR="008C0D10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, najmä v rámci </w:t>
      </w:r>
      <w:r w:rsidR="008C0D10">
        <w:rPr>
          <w:rFonts w:ascii="Arial" w:hAnsi="Arial" w:cs="Arial"/>
          <w:sz w:val="24"/>
          <w:szCs w:val="24"/>
        </w:rPr>
        <w:t xml:space="preserve">nastavenia systémov, kontrol </w:t>
      </w:r>
      <w:r w:rsidR="003F0DE9">
        <w:rPr>
          <w:rFonts w:ascii="Arial" w:hAnsi="Arial" w:cs="Arial"/>
          <w:sz w:val="24"/>
          <w:szCs w:val="24"/>
        </w:rPr>
        <w:t>a</w:t>
      </w:r>
      <w:r w:rsidR="008C0D10">
        <w:rPr>
          <w:rFonts w:ascii="Arial" w:hAnsi="Arial" w:cs="Arial"/>
          <w:sz w:val="24"/>
          <w:szCs w:val="24"/>
        </w:rPr>
        <w:t> </w:t>
      </w:r>
      <w:r w:rsidR="003F0DE9">
        <w:rPr>
          <w:rFonts w:ascii="Arial" w:hAnsi="Arial" w:cs="Arial"/>
          <w:sz w:val="24"/>
          <w:szCs w:val="24"/>
        </w:rPr>
        <w:t>bezpečnej</w:t>
      </w:r>
      <w:r w:rsidR="008C0D10">
        <w:rPr>
          <w:rFonts w:ascii="Arial" w:hAnsi="Arial" w:cs="Arial"/>
          <w:sz w:val="24"/>
          <w:szCs w:val="24"/>
        </w:rPr>
        <w:t xml:space="preserve"> funkčnej</w:t>
      </w:r>
      <w:r w:rsidR="003F0DE9">
        <w:rPr>
          <w:rFonts w:ascii="Arial" w:hAnsi="Arial" w:cs="Arial"/>
          <w:sz w:val="24"/>
          <w:szCs w:val="24"/>
        </w:rPr>
        <w:t xml:space="preserve"> internetovej komunikácie s poľnohospodármi</w:t>
      </w:r>
      <w:r>
        <w:rPr>
          <w:rFonts w:ascii="Arial" w:hAnsi="Arial" w:cs="Arial"/>
          <w:sz w:val="24"/>
          <w:szCs w:val="24"/>
        </w:rPr>
        <w:t>.</w:t>
      </w:r>
    </w:p>
    <w:p w:rsidR="003F0DE9" w:rsidRDefault="003F0DE9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D73" w:rsidRDefault="003F0DE9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Návrhy </w:t>
      </w:r>
      <w:r w:rsidRPr="003E4331">
        <w:rPr>
          <w:rFonts w:ascii="Arial" w:hAnsi="Arial" w:cs="Arial"/>
          <w:b/>
          <w:sz w:val="24"/>
          <w:szCs w:val="24"/>
        </w:rPr>
        <w:t>dvoch nariadení pre prechodné obdobie</w:t>
      </w:r>
      <w:r w:rsidR="002C3F75">
        <w:rPr>
          <w:rFonts w:ascii="Arial" w:hAnsi="Arial" w:cs="Arial"/>
          <w:b/>
          <w:sz w:val="24"/>
          <w:szCs w:val="24"/>
        </w:rPr>
        <w:t xml:space="preserve"> aj s prílohami</w:t>
      </w:r>
      <w:r>
        <w:rPr>
          <w:rFonts w:ascii="Arial" w:hAnsi="Arial" w:cs="Arial"/>
          <w:sz w:val="24"/>
          <w:szCs w:val="24"/>
        </w:rPr>
        <w:t xml:space="preserve">, ktoré EK predložila koncom októbra prerokovali na Rade ministrov </w:t>
      </w:r>
      <w:r w:rsidR="006A696F">
        <w:rPr>
          <w:rFonts w:ascii="Arial" w:hAnsi="Arial" w:cs="Arial"/>
          <w:sz w:val="24"/>
          <w:szCs w:val="24"/>
        </w:rPr>
        <w:t xml:space="preserve">prvýkrát </w:t>
      </w:r>
      <w:r>
        <w:rPr>
          <w:rFonts w:ascii="Arial" w:hAnsi="Arial" w:cs="Arial"/>
          <w:sz w:val="24"/>
          <w:szCs w:val="24"/>
        </w:rPr>
        <w:t xml:space="preserve">v polovici novembra 2019. </w:t>
      </w:r>
      <w:r w:rsidR="007B7C71">
        <w:rPr>
          <w:rFonts w:ascii="Arial" w:hAnsi="Arial" w:cs="Arial"/>
          <w:sz w:val="24"/>
          <w:szCs w:val="24"/>
        </w:rPr>
        <w:t xml:space="preserve">V prvom sa nastavujú opatrenia finančnej disciplíny a možnosti prevodu financií medzi piliermi a v druhom sú navrhnuté prechodné opatrenia. </w:t>
      </w:r>
      <w:r>
        <w:rPr>
          <w:rFonts w:ascii="Arial" w:hAnsi="Arial" w:cs="Arial"/>
          <w:sz w:val="24"/>
          <w:szCs w:val="24"/>
        </w:rPr>
        <w:t xml:space="preserve">V súčasnosti sú </w:t>
      </w:r>
      <w:hyperlink r:id="rId5" w:history="1">
        <w:r w:rsidRPr="0064565A">
          <w:rPr>
            <w:rStyle w:val="Hypertextovprepojenie"/>
            <w:rFonts w:ascii="Arial" w:hAnsi="Arial" w:cs="Arial"/>
            <w:sz w:val="24"/>
            <w:szCs w:val="24"/>
          </w:rPr>
          <w:t>v pripomienkovom procese</w:t>
        </w:r>
      </w:hyperlink>
      <w:r w:rsidR="007B7C71">
        <w:rPr>
          <w:rFonts w:ascii="Arial" w:hAnsi="Arial" w:cs="Arial"/>
          <w:sz w:val="24"/>
          <w:szCs w:val="24"/>
        </w:rPr>
        <w:t xml:space="preserve">. Predpokladá sa, že o návrhoch budú európske inštitúcie ešte diskutovať </w:t>
      </w:r>
      <w:r w:rsidR="006A696F">
        <w:rPr>
          <w:rFonts w:ascii="Arial" w:hAnsi="Arial" w:cs="Arial"/>
          <w:sz w:val="24"/>
          <w:szCs w:val="24"/>
        </w:rPr>
        <w:t xml:space="preserve">na jar </w:t>
      </w:r>
      <w:r w:rsidR="007B7C71">
        <w:rPr>
          <w:rFonts w:ascii="Arial" w:hAnsi="Arial" w:cs="Arial"/>
          <w:sz w:val="24"/>
          <w:szCs w:val="24"/>
        </w:rPr>
        <w:t>a</w:t>
      </w:r>
      <w:r w:rsidR="006A696F">
        <w:rPr>
          <w:rFonts w:ascii="Arial" w:hAnsi="Arial" w:cs="Arial"/>
          <w:sz w:val="24"/>
          <w:szCs w:val="24"/>
        </w:rPr>
        <w:t> ich prijatie sa predpokladá do leta 2020.</w:t>
      </w:r>
    </w:p>
    <w:p w:rsidR="00993F9C" w:rsidRDefault="00993F9C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D73" w:rsidRPr="00BF4D73" w:rsidRDefault="00BF4D73" w:rsidP="00E00D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4D73">
        <w:rPr>
          <w:rFonts w:ascii="Arial" w:hAnsi="Arial" w:cs="Arial"/>
          <w:b/>
          <w:sz w:val="24"/>
          <w:szCs w:val="24"/>
        </w:rPr>
        <w:t>Texty návrhov európskej legislatívy pre mix podpôr:</w:t>
      </w:r>
    </w:p>
    <w:p w:rsidR="00BF4D73" w:rsidRPr="00BF4D73" w:rsidRDefault="007F155F" w:rsidP="00E00D1B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A696F">
        <w:rPr>
          <w:rFonts w:ascii="Arial" w:hAnsi="Arial" w:cs="Arial"/>
          <w:i/>
          <w:sz w:val="24"/>
          <w:szCs w:val="24"/>
          <w:u w:val="single"/>
        </w:rPr>
        <w:t>Pripomienkuje sa do 6.1.2020</w:t>
      </w:r>
      <w:r w:rsidR="00BF4D73" w:rsidRPr="00BF4D73">
        <w:rPr>
          <w:rFonts w:ascii="Arial" w:hAnsi="Arial" w:cs="Arial"/>
          <w:sz w:val="24"/>
          <w:szCs w:val="24"/>
          <w:u w:val="single"/>
        </w:rPr>
        <w:t>:</w:t>
      </w:r>
    </w:p>
    <w:p w:rsidR="00BF4D73" w:rsidRDefault="00AC7E8D" w:rsidP="00E00D1B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COM(2019) 580 </w:t>
      </w:r>
      <w:proofErr w:type="spellStart"/>
      <w:r>
        <w:rPr>
          <w:rFonts w:ascii="Arial" w:hAnsi="Arial" w:cs="Arial"/>
          <w:sz w:val="24"/>
          <w:szCs w:val="24"/>
        </w:rPr>
        <w:t>final</w:t>
      </w:r>
      <w:proofErr w:type="spellEnd"/>
      <w:r w:rsidR="00BF4D73" w:rsidRPr="00BF4D73">
        <w:rPr>
          <w:rFonts w:ascii="Arial" w:hAnsi="Arial" w:cs="Arial"/>
          <w:sz w:val="24"/>
          <w:szCs w:val="24"/>
        </w:rPr>
        <w:t xml:space="preserve">–2019/0253 (COD): </w:t>
      </w:r>
      <w:hyperlink r:id="rId6" w:history="1">
        <w:r w:rsidR="00BF4D73" w:rsidRPr="00BF4D73">
          <w:rPr>
            <w:rStyle w:val="Hypertextovprepojenie"/>
            <w:rFonts w:ascii="Arial" w:hAnsi="Arial" w:cs="Arial"/>
            <w:sz w:val="24"/>
            <w:szCs w:val="24"/>
          </w:rPr>
          <w:t>Nariadenie Európskeho Parlamentu a Rady, ktorým sa mení nariadenie (EÚ) č.1306/2013, pokiaľ ide o finančnú disciplínu od rozpočtového roka 2021, a nariadenie (EÚ) č.1307/2013, pokiaľ ide o pružnosť medzi piliermi vzhľadom na kalendárny rok 2020</w:t>
        </w:r>
      </w:hyperlink>
      <w:r w:rsidR="006A696F">
        <w:rPr>
          <w:rFonts w:ascii="Arial" w:hAnsi="Arial" w:cs="Arial"/>
          <w:sz w:val="24"/>
          <w:szCs w:val="24"/>
        </w:rPr>
        <w:t>.</w:t>
      </w:r>
    </w:p>
    <w:p w:rsidR="00BF4D73" w:rsidRDefault="00BF4D73" w:rsidP="00E00D1B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COM(2019)</w:t>
      </w:r>
      <w:r w:rsidR="00AC7E8D">
        <w:rPr>
          <w:rFonts w:ascii="Arial" w:hAnsi="Arial" w:cs="Arial"/>
          <w:sz w:val="24"/>
          <w:szCs w:val="24"/>
        </w:rPr>
        <w:t xml:space="preserve"> 580 </w:t>
      </w:r>
      <w:proofErr w:type="spellStart"/>
      <w:r w:rsidR="00AC7E8D">
        <w:rPr>
          <w:rFonts w:ascii="Arial" w:hAnsi="Arial" w:cs="Arial"/>
          <w:sz w:val="24"/>
          <w:szCs w:val="24"/>
        </w:rPr>
        <w:t>final</w:t>
      </w:r>
      <w:proofErr w:type="spellEnd"/>
      <w:r>
        <w:rPr>
          <w:rFonts w:ascii="Arial" w:hAnsi="Arial" w:cs="Arial"/>
          <w:sz w:val="24"/>
          <w:szCs w:val="24"/>
        </w:rPr>
        <w:t xml:space="preserve">–ANNEX: </w:t>
      </w:r>
      <w:hyperlink r:id="rId7" w:history="1">
        <w:r w:rsidRPr="00BF4D73">
          <w:rPr>
            <w:rStyle w:val="Hypertextovprepojenie"/>
            <w:rFonts w:ascii="Arial" w:hAnsi="Arial" w:cs="Arial"/>
            <w:sz w:val="24"/>
            <w:szCs w:val="24"/>
          </w:rPr>
          <w:t>Príloha k uvedenému nariadeniu</w:t>
        </w:r>
      </w:hyperlink>
      <w:r w:rsidR="006A696F">
        <w:rPr>
          <w:rFonts w:ascii="Arial" w:hAnsi="Arial" w:cs="Arial"/>
          <w:sz w:val="24"/>
          <w:szCs w:val="24"/>
        </w:rPr>
        <w:t>.</w:t>
      </w:r>
    </w:p>
    <w:p w:rsidR="00AC7E8D" w:rsidRDefault="00AC7E8D" w:rsidP="00AC7E8D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D73" w:rsidRDefault="00BF4D73" w:rsidP="00E00D1B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96F">
        <w:rPr>
          <w:rFonts w:ascii="Arial" w:hAnsi="Arial" w:cs="Arial"/>
          <w:i/>
          <w:sz w:val="24"/>
          <w:szCs w:val="24"/>
          <w:u w:val="single"/>
        </w:rPr>
        <w:t>Pripomienkuje sa do 10.1.2020</w:t>
      </w:r>
      <w:r>
        <w:rPr>
          <w:rFonts w:ascii="Arial" w:hAnsi="Arial" w:cs="Arial"/>
          <w:sz w:val="24"/>
          <w:szCs w:val="24"/>
        </w:rPr>
        <w:t>:</w:t>
      </w:r>
    </w:p>
    <w:p w:rsidR="00BF4D73" w:rsidRDefault="00AC7E8D" w:rsidP="00E00D1B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COM(2019) 581 </w:t>
      </w:r>
      <w:proofErr w:type="spellStart"/>
      <w:r>
        <w:rPr>
          <w:rFonts w:ascii="Arial" w:hAnsi="Arial" w:cs="Arial"/>
          <w:sz w:val="24"/>
          <w:szCs w:val="24"/>
        </w:rPr>
        <w:t>final</w:t>
      </w:r>
      <w:proofErr w:type="spellEnd"/>
      <w:r w:rsidR="00BF4D73">
        <w:rPr>
          <w:rFonts w:ascii="Arial" w:hAnsi="Arial" w:cs="Arial"/>
          <w:sz w:val="24"/>
          <w:szCs w:val="24"/>
        </w:rPr>
        <w:t xml:space="preserve">–2019/0254 (COD): </w:t>
      </w:r>
      <w:hyperlink r:id="rId8" w:history="1">
        <w:r w:rsidR="00BF4D73" w:rsidRPr="008E5B6F">
          <w:rPr>
            <w:rStyle w:val="Hypertextovprepojenie"/>
            <w:rFonts w:ascii="Arial" w:hAnsi="Arial" w:cs="Arial"/>
            <w:sz w:val="24"/>
            <w:szCs w:val="24"/>
          </w:rPr>
          <w:t xml:space="preserve">Nariadenie Európskeho Parlamentu a Rady, ktorým sa stanovujú určité prechodné ustanovenia týkajúce sa podpory z Európskeho poľnohospodárskeho fondu pre rozvoj vidieka (EPFRV) a Európskeho poľnohospodárskeho záručného fondu (EPZF) v roku 2021, a ktorým sa menia nariadenia (EÚ) č.228/2013, (EÚ) č.229/2013 a (EÚ) 1308/2013, pokiaľ ide o zdroje a ich distribúciu v roku 2021, a ktorým sa menia nariadenia </w:t>
        </w:r>
        <w:r w:rsidR="008E5B6F" w:rsidRPr="008E5B6F">
          <w:rPr>
            <w:rStyle w:val="Hypertextovprepojenie"/>
            <w:rFonts w:ascii="Arial" w:hAnsi="Arial" w:cs="Arial"/>
            <w:sz w:val="24"/>
            <w:szCs w:val="24"/>
          </w:rPr>
          <w:t>(EÚ) č.1305/2013, (EÚ) č.1306/2013 a (EÚ) č.1307/2013, pokiaľ ide o ich zdroje a uplatňovanie v roku 2021</w:t>
        </w:r>
      </w:hyperlink>
      <w:r w:rsidR="006A696F">
        <w:rPr>
          <w:rFonts w:ascii="Arial" w:hAnsi="Arial" w:cs="Arial"/>
          <w:sz w:val="24"/>
          <w:szCs w:val="24"/>
        </w:rPr>
        <w:t xml:space="preserve"> .</w:t>
      </w:r>
    </w:p>
    <w:p w:rsidR="008E5B6F" w:rsidRPr="00BF4D73" w:rsidRDefault="00AC7E8D" w:rsidP="00E00D1B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COM(2019) 581 </w:t>
      </w:r>
      <w:proofErr w:type="spellStart"/>
      <w:r>
        <w:rPr>
          <w:rFonts w:ascii="Arial" w:hAnsi="Arial" w:cs="Arial"/>
          <w:sz w:val="24"/>
          <w:szCs w:val="24"/>
        </w:rPr>
        <w:t>final</w:t>
      </w:r>
      <w:proofErr w:type="spellEnd"/>
      <w:r w:rsidR="008E5B6F">
        <w:rPr>
          <w:rFonts w:ascii="Arial" w:hAnsi="Arial" w:cs="Arial"/>
          <w:sz w:val="24"/>
          <w:szCs w:val="24"/>
        </w:rPr>
        <w:t>–ANNEX</w:t>
      </w:r>
      <w:r>
        <w:rPr>
          <w:rFonts w:ascii="Arial" w:hAnsi="Arial" w:cs="Arial"/>
          <w:sz w:val="24"/>
          <w:szCs w:val="24"/>
        </w:rPr>
        <w:t>ES</w:t>
      </w:r>
      <w:r w:rsidR="008E5B6F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8E5B6F" w:rsidRPr="008E5B6F">
          <w:rPr>
            <w:rStyle w:val="Hypertextovprepojenie"/>
            <w:rFonts w:ascii="Arial" w:hAnsi="Arial" w:cs="Arial"/>
            <w:sz w:val="24"/>
            <w:szCs w:val="24"/>
          </w:rPr>
          <w:t>Prílohy 1 až 3 k uvedenému nariadeniu</w:t>
        </w:r>
      </w:hyperlink>
      <w:r w:rsidR="006A696F">
        <w:rPr>
          <w:rFonts w:ascii="Arial" w:hAnsi="Arial" w:cs="Arial"/>
          <w:sz w:val="24"/>
          <w:szCs w:val="24"/>
        </w:rPr>
        <w:t>.</w:t>
      </w:r>
    </w:p>
    <w:p w:rsidR="00AC7E8D" w:rsidRDefault="00AC7E8D" w:rsidP="00AC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4331" w:rsidRDefault="003E4331" w:rsidP="00AC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prechodného obdobia by sa mali používať </w:t>
      </w:r>
      <w:r w:rsidRPr="003E4331">
        <w:rPr>
          <w:rFonts w:ascii="Arial" w:hAnsi="Arial" w:cs="Arial"/>
          <w:b/>
          <w:sz w:val="24"/>
          <w:szCs w:val="24"/>
        </w:rPr>
        <w:t>existujúce pravidlá</w:t>
      </w:r>
      <w:r w:rsidR="008C56BC">
        <w:rPr>
          <w:rFonts w:ascii="Arial" w:hAnsi="Arial" w:cs="Arial"/>
          <w:b/>
          <w:sz w:val="24"/>
          <w:szCs w:val="24"/>
        </w:rPr>
        <w:t>, no</w:t>
      </w:r>
      <w:r w:rsidRPr="003E4331">
        <w:rPr>
          <w:rFonts w:ascii="Arial" w:hAnsi="Arial" w:cs="Arial"/>
          <w:b/>
          <w:sz w:val="24"/>
          <w:szCs w:val="24"/>
        </w:rPr>
        <w:t> nový</w:t>
      </w:r>
      <w:r w:rsidR="006A696F">
        <w:rPr>
          <w:rFonts w:ascii="Arial" w:hAnsi="Arial" w:cs="Arial"/>
          <w:b/>
          <w:sz w:val="24"/>
          <w:szCs w:val="24"/>
        </w:rPr>
        <w:t>,</w:t>
      </w:r>
      <w:r w:rsidRPr="003E4331">
        <w:rPr>
          <w:rFonts w:ascii="Arial" w:hAnsi="Arial" w:cs="Arial"/>
          <w:b/>
          <w:sz w:val="24"/>
          <w:szCs w:val="24"/>
        </w:rPr>
        <w:t xml:space="preserve"> </w:t>
      </w:r>
      <w:r w:rsidR="008C56BC">
        <w:rPr>
          <w:rFonts w:ascii="Arial" w:hAnsi="Arial" w:cs="Arial"/>
          <w:b/>
          <w:sz w:val="24"/>
          <w:szCs w:val="24"/>
        </w:rPr>
        <w:t xml:space="preserve">nižší </w:t>
      </w:r>
      <w:r w:rsidRPr="003E4331">
        <w:rPr>
          <w:rFonts w:ascii="Arial" w:hAnsi="Arial" w:cs="Arial"/>
          <w:b/>
          <w:sz w:val="24"/>
          <w:szCs w:val="24"/>
        </w:rPr>
        <w:t>rozpočet</w:t>
      </w:r>
      <w:r>
        <w:rPr>
          <w:rFonts w:ascii="Arial" w:hAnsi="Arial" w:cs="Arial"/>
          <w:sz w:val="24"/>
          <w:szCs w:val="24"/>
        </w:rPr>
        <w:t>.</w:t>
      </w:r>
      <w:r w:rsidR="008C56BC">
        <w:rPr>
          <w:rFonts w:ascii="Arial" w:hAnsi="Arial" w:cs="Arial"/>
          <w:sz w:val="24"/>
          <w:szCs w:val="24"/>
        </w:rPr>
        <w:t xml:space="preserve"> Podľa návrhov by pre prechodné obdobie mal byť znížený rozpočet </w:t>
      </w:r>
      <w:r w:rsidR="006A696F">
        <w:rPr>
          <w:rFonts w:ascii="Arial" w:hAnsi="Arial" w:cs="Arial"/>
          <w:sz w:val="24"/>
          <w:szCs w:val="24"/>
        </w:rPr>
        <w:t xml:space="preserve">na opatrenia SPP </w:t>
      </w:r>
      <w:r w:rsidR="008C56BC">
        <w:rPr>
          <w:rFonts w:ascii="Arial" w:hAnsi="Arial" w:cs="Arial"/>
          <w:sz w:val="24"/>
          <w:szCs w:val="24"/>
        </w:rPr>
        <w:t xml:space="preserve">– na priamych platbách roku 2020 asi o 11%, kým pre opatrenia II. piliera ešte nižšie. To odmieta väčšina zástupcov </w:t>
      </w:r>
      <w:r w:rsidR="008C0D10">
        <w:rPr>
          <w:rFonts w:ascii="Arial" w:hAnsi="Arial" w:cs="Arial"/>
          <w:sz w:val="24"/>
          <w:szCs w:val="24"/>
        </w:rPr>
        <w:t>štátnych aj mimovládnych agrárnych organizácií v</w:t>
      </w:r>
      <w:r w:rsidR="008C56BC">
        <w:rPr>
          <w:rFonts w:ascii="Arial" w:hAnsi="Arial" w:cs="Arial"/>
          <w:sz w:val="24"/>
          <w:szCs w:val="24"/>
        </w:rPr>
        <w:t xml:space="preserve"> EÚ, ktorí zároveň požadujú predĺženie prechodného obdobia pre riadnu prípravu a plynulý prechod zo súčasných na nové pravidlá SPP.</w:t>
      </w:r>
      <w:r w:rsidR="006A696F">
        <w:rPr>
          <w:rFonts w:ascii="Arial" w:hAnsi="Arial" w:cs="Arial"/>
          <w:sz w:val="24"/>
          <w:szCs w:val="24"/>
        </w:rPr>
        <w:t xml:space="preserve"> Najväčšou prekážkou je fakt, že zatiaľ nie sú schválené ani základné legislatívne návrhy SPP a viacročný finančný rámec pre roky 2021-2027.</w:t>
      </w:r>
      <w:r w:rsidR="008A0F69">
        <w:rPr>
          <w:rFonts w:ascii="Arial" w:hAnsi="Arial" w:cs="Arial"/>
          <w:sz w:val="24"/>
          <w:szCs w:val="24"/>
        </w:rPr>
        <w:t xml:space="preserve"> Podobná situácia však bola aj v roku 2013.</w:t>
      </w:r>
    </w:p>
    <w:p w:rsidR="008C56BC" w:rsidRDefault="008C56BC" w:rsidP="00AC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4331" w:rsidRDefault="00BF4D73" w:rsidP="00AC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8C0D10">
        <w:rPr>
          <w:rFonts w:ascii="Arial" w:hAnsi="Arial" w:cs="Arial"/>
          <w:sz w:val="24"/>
          <w:szCs w:val="24"/>
        </w:rPr>
        <w:t>odľa návrhu p</w:t>
      </w:r>
      <w:r>
        <w:rPr>
          <w:rFonts w:ascii="Arial" w:hAnsi="Arial" w:cs="Arial"/>
          <w:sz w:val="24"/>
          <w:szCs w:val="24"/>
        </w:rPr>
        <w:t>re</w:t>
      </w:r>
      <w:r w:rsidR="003E43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Programy</w:t>
      </w:r>
      <w:r w:rsidR="003E4331" w:rsidRPr="005A1143">
        <w:rPr>
          <w:rFonts w:ascii="Arial" w:hAnsi="Arial" w:cs="Arial"/>
          <w:b/>
          <w:sz w:val="24"/>
          <w:szCs w:val="24"/>
        </w:rPr>
        <w:t xml:space="preserve"> rozvoja vidieka</w:t>
      </w:r>
      <w:r w:rsidR="003E4331">
        <w:rPr>
          <w:rFonts w:ascii="Arial" w:hAnsi="Arial" w:cs="Arial"/>
          <w:sz w:val="24"/>
          <w:szCs w:val="24"/>
        </w:rPr>
        <w:t xml:space="preserve"> môžu členské krajiny aktuálne nastavené schémy a pravidlá </w:t>
      </w:r>
      <w:r w:rsidR="008C0D10" w:rsidRPr="008C0D10">
        <w:rPr>
          <w:rFonts w:ascii="Arial" w:hAnsi="Arial" w:cs="Arial"/>
          <w:b/>
          <w:sz w:val="24"/>
          <w:szCs w:val="24"/>
        </w:rPr>
        <w:t xml:space="preserve">predĺžiť </w:t>
      </w:r>
      <w:r w:rsidR="003E4331" w:rsidRPr="008C0D10">
        <w:rPr>
          <w:rFonts w:ascii="Arial" w:hAnsi="Arial" w:cs="Arial"/>
          <w:b/>
          <w:sz w:val="24"/>
          <w:szCs w:val="24"/>
        </w:rPr>
        <w:t>o jeden rok</w:t>
      </w:r>
      <w:r w:rsidR="00D841CB">
        <w:rPr>
          <w:rFonts w:ascii="Arial" w:hAnsi="Arial" w:cs="Arial"/>
          <w:sz w:val="24"/>
          <w:szCs w:val="24"/>
        </w:rPr>
        <w:t xml:space="preserve"> (do 31.12.2021)</w:t>
      </w:r>
      <w:r w:rsidR="003E4331">
        <w:rPr>
          <w:rFonts w:ascii="Arial" w:hAnsi="Arial" w:cs="Arial"/>
          <w:sz w:val="24"/>
          <w:szCs w:val="24"/>
        </w:rPr>
        <w:t xml:space="preserve">, pričom môžu čerpať prostriedky z navrhovanej </w:t>
      </w:r>
      <w:r w:rsidR="005A1143">
        <w:rPr>
          <w:rFonts w:ascii="Arial" w:hAnsi="Arial" w:cs="Arial"/>
          <w:sz w:val="24"/>
          <w:szCs w:val="24"/>
        </w:rPr>
        <w:t>finančnej alokácie na rok 2021.</w:t>
      </w:r>
      <w:r w:rsidR="00936989">
        <w:rPr>
          <w:rFonts w:ascii="Arial" w:hAnsi="Arial" w:cs="Arial"/>
          <w:sz w:val="24"/>
          <w:szCs w:val="24"/>
        </w:rPr>
        <w:t xml:space="preserve"> </w:t>
      </w:r>
      <w:r w:rsidR="00CC08C2">
        <w:rPr>
          <w:rFonts w:ascii="Arial" w:hAnsi="Arial" w:cs="Arial"/>
          <w:sz w:val="24"/>
          <w:szCs w:val="24"/>
        </w:rPr>
        <w:t>Viacročné záväzky zo súčasného programového obdobia môžu pokračovať v novom období</w:t>
      </w:r>
      <w:r w:rsidR="00936989">
        <w:rPr>
          <w:rFonts w:ascii="Arial" w:hAnsi="Arial" w:cs="Arial"/>
          <w:sz w:val="24"/>
          <w:szCs w:val="24"/>
        </w:rPr>
        <w:t xml:space="preserve"> (max. 1 rok)</w:t>
      </w:r>
      <w:r w:rsidR="008C0D10">
        <w:rPr>
          <w:rFonts w:ascii="Arial" w:hAnsi="Arial" w:cs="Arial"/>
          <w:sz w:val="24"/>
          <w:szCs w:val="24"/>
        </w:rPr>
        <w:t>. P</w:t>
      </w:r>
      <w:r w:rsidR="00CC08C2">
        <w:rPr>
          <w:rFonts w:ascii="Arial" w:hAnsi="Arial" w:cs="Arial"/>
          <w:sz w:val="24"/>
          <w:szCs w:val="24"/>
        </w:rPr>
        <w:t xml:space="preserve">re nové záväzky </w:t>
      </w:r>
      <w:r w:rsidR="00936989">
        <w:rPr>
          <w:rFonts w:ascii="Arial" w:hAnsi="Arial" w:cs="Arial"/>
          <w:sz w:val="24"/>
          <w:szCs w:val="24"/>
        </w:rPr>
        <w:t xml:space="preserve">(pre </w:t>
      </w:r>
      <w:proofErr w:type="spellStart"/>
      <w:r w:rsidR="00936989">
        <w:rPr>
          <w:rFonts w:ascii="Arial" w:hAnsi="Arial" w:cs="Arial"/>
          <w:sz w:val="24"/>
          <w:szCs w:val="24"/>
        </w:rPr>
        <w:t>agro</w:t>
      </w:r>
      <w:proofErr w:type="spellEnd"/>
      <w:r w:rsidR="00936989">
        <w:rPr>
          <w:rFonts w:ascii="Arial" w:hAnsi="Arial" w:cs="Arial"/>
          <w:sz w:val="24"/>
          <w:szCs w:val="24"/>
        </w:rPr>
        <w:t xml:space="preserve">-environmentálno-klimatické opatrenia, ekologické poľnohospodárstvo a lesné hospodárstvo), </w:t>
      </w:r>
      <w:r w:rsidR="00CC08C2">
        <w:rPr>
          <w:rFonts w:ascii="Arial" w:hAnsi="Arial" w:cs="Arial"/>
          <w:sz w:val="24"/>
          <w:szCs w:val="24"/>
        </w:rPr>
        <w:t xml:space="preserve">si stanovia členské štáty </w:t>
      </w:r>
      <w:r w:rsidR="00D841CB">
        <w:rPr>
          <w:rFonts w:ascii="Arial" w:hAnsi="Arial" w:cs="Arial"/>
          <w:sz w:val="24"/>
          <w:szCs w:val="24"/>
        </w:rPr>
        <w:t>kratšie obdobie</w:t>
      </w:r>
      <w:r w:rsidR="00936989">
        <w:rPr>
          <w:rFonts w:ascii="Arial" w:hAnsi="Arial" w:cs="Arial"/>
          <w:sz w:val="24"/>
          <w:szCs w:val="24"/>
        </w:rPr>
        <w:t xml:space="preserve"> (max. </w:t>
      </w:r>
      <w:r w:rsidR="00D841CB">
        <w:rPr>
          <w:rFonts w:ascii="Arial" w:hAnsi="Arial" w:cs="Arial"/>
          <w:sz w:val="24"/>
          <w:szCs w:val="24"/>
        </w:rPr>
        <w:t>3 roky).</w:t>
      </w:r>
      <w:r w:rsidR="00936989">
        <w:rPr>
          <w:rFonts w:ascii="Arial" w:hAnsi="Arial" w:cs="Arial"/>
          <w:sz w:val="24"/>
          <w:szCs w:val="24"/>
        </w:rPr>
        <w:t xml:space="preserve"> Pokiaľ sa však štát rozhodne nepredlžovať súčasné opatrenia PRV, </w:t>
      </w:r>
      <w:r w:rsidR="008C0D10">
        <w:rPr>
          <w:rFonts w:ascii="Arial" w:hAnsi="Arial" w:cs="Arial"/>
          <w:sz w:val="24"/>
          <w:szCs w:val="24"/>
        </w:rPr>
        <w:t>môže</w:t>
      </w:r>
      <w:r w:rsidR="008C0D10">
        <w:rPr>
          <w:rFonts w:ascii="Arial" w:hAnsi="Arial" w:cs="Arial"/>
          <w:sz w:val="24"/>
          <w:szCs w:val="24"/>
        </w:rPr>
        <w:t xml:space="preserve"> </w:t>
      </w:r>
      <w:r w:rsidR="00936989">
        <w:rPr>
          <w:rFonts w:ascii="Arial" w:hAnsi="Arial" w:cs="Arial"/>
          <w:sz w:val="24"/>
          <w:szCs w:val="24"/>
        </w:rPr>
        <w:t>svoju finančnú obálku na rok 2021 použiť neskôr</w:t>
      </w:r>
      <w:r w:rsidR="008C0D10">
        <w:rPr>
          <w:rFonts w:ascii="Arial" w:hAnsi="Arial" w:cs="Arial"/>
          <w:sz w:val="24"/>
          <w:szCs w:val="24"/>
        </w:rPr>
        <w:t xml:space="preserve"> (ušetriť)</w:t>
      </w:r>
      <w:r w:rsidR="00936989">
        <w:rPr>
          <w:rFonts w:ascii="Arial" w:hAnsi="Arial" w:cs="Arial"/>
          <w:sz w:val="24"/>
          <w:szCs w:val="24"/>
        </w:rPr>
        <w:t>, po ukončení prechodného obdobia</w:t>
      </w:r>
      <w:r w:rsidR="008C0D10">
        <w:rPr>
          <w:rFonts w:ascii="Arial" w:hAnsi="Arial" w:cs="Arial"/>
          <w:sz w:val="24"/>
          <w:szCs w:val="24"/>
        </w:rPr>
        <w:t>,</w:t>
      </w:r>
      <w:r w:rsidR="00FA77BF">
        <w:rPr>
          <w:rFonts w:ascii="Arial" w:hAnsi="Arial" w:cs="Arial"/>
          <w:sz w:val="24"/>
          <w:szCs w:val="24"/>
        </w:rPr>
        <w:t xml:space="preserve"> na nové opatrenia</w:t>
      </w:r>
      <w:r w:rsidR="00936989">
        <w:rPr>
          <w:rFonts w:ascii="Arial" w:hAnsi="Arial" w:cs="Arial"/>
          <w:sz w:val="24"/>
          <w:szCs w:val="24"/>
        </w:rPr>
        <w:t>.</w:t>
      </w:r>
      <w:r w:rsidR="00BC5001">
        <w:rPr>
          <w:rFonts w:ascii="Arial" w:hAnsi="Arial" w:cs="Arial"/>
          <w:sz w:val="24"/>
          <w:szCs w:val="24"/>
        </w:rPr>
        <w:t xml:space="preserve"> Predpokladá sa však, že väčšina krajín si predĺži prinajmenšom podpory v ANC oblastiach a pre ekologické poľnohospodárstvo. Európska Komisia však neodporúča, aby sa pri tom už v roku 2021 uplatňovali pri čerpaní balíka na PRV </w:t>
      </w:r>
      <w:hyperlink r:id="rId10" w:history="1">
        <w:r w:rsidR="00BC5001" w:rsidRPr="008C0D10">
          <w:rPr>
            <w:rStyle w:val="Hypertextovprepojenie"/>
            <w:rFonts w:ascii="Arial" w:hAnsi="Arial" w:cs="Arial"/>
            <w:sz w:val="24"/>
            <w:szCs w:val="24"/>
          </w:rPr>
          <w:t xml:space="preserve">nové sadzby národného </w:t>
        </w:r>
        <w:proofErr w:type="spellStart"/>
        <w:r w:rsidR="00BC5001" w:rsidRPr="008C0D10">
          <w:rPr>
            <w:rStyle w:val="Hypertextovprepojenie"/>
            <w:rFonts w:ascii="Arial" w:hAnsi="Arial" w:cs="Arial"/>
            <w:sz w:val="24"/>
            <w:szCs w:val="24"/>
          </w:rPr>
          <w:t>kofinancovania</w:t>
        </w:r>
        <w:proofErr w:type="spellEnd"/>
      </w:hyperlink>
      <w:r w:rsidR="00BC5001">
        <w:rPr>
          <w:rFonts w:ascii="Arial" w:hAnsi="Arial" w:cs="Arial"/>
          <w:sz w:val="24"/>
          <w:szCs w:val="24"/>
        </w:rPr>
        <w:t>.</w:t>
      </w:r>
    </w:p>
    <w:p w:rsidR="00D841CB" w:rsidRDefault="00D841CB" w:rsidP="00AC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41CB" w:rsidRDefault="00D841CB" w:rsidP="00AC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 </w:t>
      </w:r>
      <w:r w:rsidRPr="00D841CB">
        <w:rPr>
          <w:rFonts w:ascii="Arial" w:hAnsi="Arial" w:cs="Arial"/>
          <w:b/>
          <w:sz w:val="24"/>
          <w:szCs w:val="24"/>
        </w:rPr>
        <w:t>priame platby</w:t>
      </w:r>
      <w:r>
        <w:rPr>
          <w:rFonts w:ascii="Arial" w:hAnsi="Arial" w:cs="Arial"/>
          <w:sz w:val="24"/>
          <w:szCs w:val="24"/>
        </w:rPr>
        <w:t xml:space="preserve"> sa dopĺňajú stropy na rok 2021. Návrh umožňuje členským štátom presun finančných prostriedkov medzi piliermi aj po kalendárnom roku 2020 </w:t>
      </w:r>
      <w:r w:rsidR="007F155F">
        <w:rPr>
          <w:rFonts w:ascii="Arial" w:hAnsi="Arial" w:cs="Arial"/>
          <w:sz w:val="24"/>
          <w:szCs w:val="24"/>
        </w:rPr>
        <w:t>(do 15%), pričom Slovenská republika sa môže do 20.8.2020 rozhodnúť, či v roku 2022 presunie do 25% financií z II. do I. piliera.</w:t>
      </w:r>
      <w:r w:rsidR="00E12199">
        <w:rPr>
          <w:rFonts w:ascii="Arial" w:hAnsi="Arial" w:cs="Arial"/>
          <w:sz w:val="24"/>
          <w:szCs w:val="24"/>
        </w:rPr>
        <w:t xml:space="preserve"> Pokiaľ sa štát rozhodne (do 7 dní po nadobudnutí platnosti návrhu nariadenia) presunúť prostriedky z II. piliera (PRV) do I. piliera </w:t>
      </w:r>
      <w:r w:rsidR="00FA77BF">
        <w:rPr>
          <w:rFonts w:ascii="Arial" w:hAnsi="Arial" w:cs="Arial"/>
          <w:sz w:val="24"/>
          <w:szCs w:val="24"/>
        </w:rPr>
        <w:t xml:space="preserve">(priame platby) </w:t>
      </w:r>
      <w:r w:rsidR="00E12199">
        <w:rPr>
          <w:rFonts w:ascii="Arial" w:hAnsi="Arial" w:cs="Arial"/>
          <w:sz w:val="24"/>
          <w:szCs w:val="24"/>
        </w:rPr>
        <w:t>na kalendárny rok 2020, tieto odbudnú z obálky pre II. pilier pre rok 2021.</w:t>
      </w:r>
      <w:r w:rsidR="007F155F">
        <w:rPr>
          <w:rFonts w:ascii="Arial" w:hAnsi="Arial" w:cs="Arial"/>
          <w:sz w:val="24"/>
          <w:szCs w:val="24"/>
        </w:rPr>
        <w:t xml:space="preserve"> Návrh tiež</w:t>
      </w:r>
      <w:r>
        <w:rPr>
          <w:rFonts w:ascii="Arial" w:hAnsi="Arial" w:cs="Arial"/>
          <w:sz w:val="24"/>
          <w:szCs w:val="24"/>
        </w:rPr>
        <w:t xml:space="preserve"> </w:t>
      </w:r>
      <w:r w:rsidR="007F155F">
        <w:rPr>
          <w:rFonts w:ascii="Arial" w:hAnsi="Arial" w:cs="Arial"/>
          <w:sz w:val="24"/>
          <w:szCs w:val="24"/>
        </w:rPr>
        <w:t xml:space="preserve">umožňuje </w:t>
      </w:r>
      <w:r>
        <w:rPr>
          <w:rFonts w:ascii="Arial" w:hAnsi="Arial" w:cs="Arial"/>
          <w:sz w:val="24"/>
          <w:szCs w:val="24"/>
        </w:rPr>
        <w:t>pokračovanie v internom procese konvergencie aj po roku 2019</w:t>
      </w:r>
      <w:r w:rsidR="007F155F">
        <w:rPr>
          <w:rFonts w:ascii="Arial" w:hAnsi="Arial" w:cs="Arial"/>
          <w:sz w:val="24"/>
          <w:szCs w:val="24"/>
        </w:rPr>
        <w:t xml:space="preserve"> (rozhodnutie musia štáty oznámiť</w:t>
      </w:r>
      <w:r w:rsidR="006456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65A">
        <w:rPr>
          <w:rFonts w:ascii="Arial" w:hAnsi="Arial" w:cs="Arial"/>
          <w:sz w:val="24"/>
          <w:szCs w:val="24"/>
        </w:rPr>
        <w:t>EKomisii</w:t>
      </w:r>
      <w:proofErr w:type="spellEnd"/>
      <w:r w:rsidR="007F155F">
        <w:rPr>
          <w:rFonts w:ascii="Arial" w:hAnsi="Arial" w:cs="Arial"/>
          <w:sz w:val="24"/>
          <w:szCs w:val="24"/>
        </w:rPr>
        <w:t xml:space="preserve"> do 1.8.2020)</w:t>
      </w:r>
      <w:r>
        <w:rPr>
          <w:rFonts w:ascii="Arial" w:hAnsi="Arial" w:cs="Arial"/>
          <w:sz w:val="24"/>
          <w:szCs w:val="24"/>
        </w:rPr>
        <w:t>. Upravuje aj režim jednotnej platby na plochu v prechodnom období.</w:t>
      </w:r>
    </w:p>
    <w:p w:rsidR="0012484F" w:rsidRDefault="0012484F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1143" w:rsidRDefault="005A1143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>
            <wp:extent cx="6659880" cy="4064635"/>
            <wp:effectExtent l="0" t="0" r="762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okácie na rok 202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143" w:rsidRPr="005A1143" w:rsidRDefault="005A1143" w:rsidP="00E00D1B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A1143">
        <w:rPr>
          <w:rFonts w:ascii="Arial" w:hAnsi="Arial" w:cs="Arial"/>
          <w:b/>
          <w:i/>
          <w:sz w:val="24"/>
          <w:szCs w:val="24"/>
        </w:rPr>
        <w:t xml:space="preserve">TABUĽKA: Alokácie na rok 2021 a porovnanie s rokom 2020 pre všetky členské krajiny EÚ. </w:t>
      </w:r>
    </w:p>
    <w:p w:rsidR="005A1143" w:rsidRDefault="005A1143" w:rsidP="00E00D1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Legenda: </w:t>
      </w:r>
      <w:proofErr w:type="spellStart"/>
      <w:r w:rsidRPr="005A1143">
        <w:rPr>
          <w:rFonts w:ascii="Arial" w:hAnsi="Arial" w:cs="Arial"/>
          <w:i/>
          <w:sz w:val="24"/>
          <w:szCs w:val="24"/>
        </w:rPr>
        <w:t>Direct</w:t>
      </w:r>
      <w:proofErr w:type="spellEnd"/>
      <w:r w:rsidRPr="005A114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A1143">
        <w:rPr>
          <w:rFonts w:ascii="Arial" w:hAnsi="Arial" w:cs="Arial"/>
          <w:i/>
          <w:sz w:val="24"/>
          <w:szCs w:val="24"/>
        </w:rPr>
        <w:t>payments</w:t>
      </w:r>
      <w:proofErr w:type="spellEnd"/>
      <w:r w:rsidRPr="005A1143">
        <w:rPr>
          <w:rFonts w:ascii="Arial" w:hAnsi="Arial" w:cs="Arial"/>
          <w:i/>
          <w:sz w:val="24"/>
          <w:szCs w:val="24"/>
        </w:rPr>
        <w:t xml:space="preserve"> – priame platby, </w:t>
      </w:r>
      <w:proofErr w:type="spellStart"/>
      <w:r w:rsidRPr="005A1143">
        <w:rPr>
          <w:rFonts w:ascii="Arial" w:hAnsi="Arial" w:cs="Arial"/>
          <w:i/>
          <w:sz w:val="24"/>
          <w:szCs w:val="24"/>
        </w:rPr>
        <w:t>Rural</w:t>
      </w:r>
      <w:proofErr w:type="spellEnd"/>
      <w:r w:rsidRPr="005A114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A1143">
        <w:rPr>
          <w:rFonts w:ascii="Arial" w:hAnsi="Arial" w:cs="Arial"/>
          <w:i/>
          <w:sz w:val="24"/>
          <w:szCs w:val="24"/>
        </w:rPr>
        <w:t>development</w:t>
      </w:r>
      <w:proofErr w:type="spellEnd"/>
      <w:r w:rsidRPr="005A1143">
        <w:rPr>
          <w:rFonts w:ascii="Arial" w:hAnsi="Arial" w:cs="Arial"/>
          <w:i/>
          <w:sz w:val="24"/>
          <w:szCs w:val="24"/>
        </w:rPr>
        <w:t xml:space="preserve"> – rozvoj vidieka, Per cent change – percentuálna zmena.</w:t>
      </w:r>
      <w:r w:rsidR="00EE66E0">
        <w:rPr>
          <w:rFonts w:ascii="Arial" w:hAnsi="Arial" w:cs="Arial"/>
          <w:i/>
          <w:sz w:val="24"/>
          <w:szCs w:val="24"/>
        </w:rPr>
        <w:t xml:space="preserve"> Údaj pre rok 2020 je udaný podľa prílohy pôvodného návrhu nariadenia (EÚ) č.1307/2013 pre priame platby a č.1305/2013 pre rozvoj vidieka; </w:t>
      </w:r>
      <w:r w:rsidR="00331261">
        <w:rPr>
          <w:rFonts w:ascii="Arial" w:hAnsi="Arial" w:cs="Arial"/>
          <w:i/>
          <w:sz w:val="24"/>
          <w:szCs w:val="24"/>
        </w:rPr>
        <w:t xml:space="preserve"> Zdroj: </w:t>
      </w:r>
      <w:proofErr w:type="spellStart"/>
      <w:r w:rsidR="00331261">
        <w:rPr>
          <w:rFonts w:ascii="Arial" w:hAnsi="Arial" w:cs="Arial"/>
          <w:i/>
          <w:sz w:val="24"/>
          <w:szCs w:val="24"/>
        </w:rPr>
        <w:t>EKomisia</w:t>
      </w:r>
      <w:proofErr w:type="spellEnd"/>
      <w:r w:rsidR="00331261">
        <w:rPr>
          <w:rFonts w:ascii="Arial" w:hAnsi="Arial" w:cs="Arial"/>
          <w:i/>
          <w:sz w:val="24"/>
          <w:szCs w:val="24"/>
        </w:rPr>
        <w:t>.</w:t>
      </w:r>
    </w:p>
    <w:p w:rsidR="007D3410" w:rsidRDefault="007D3410" w:rsidP="00E00D1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7D3410" w:rsidRDefault="00FA77BF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Návrhy nariadení </w:t>
      </w:r>
      <w:r w:rsidR="00E073B7">
        <w:rPr>
          <w:rFonts w:ascii="Arial" w:hAnsi="Arial" w:cs="Arial"/>
          <w:sz w:val="24"/>
          <w:szCs w:val="24"/>
        </w:rPr>
        <w:t xml:space="preserve">EK </w:t>
      </w:r>
      <w:r>
        <w:rPr>
          <w:rFonts w:ascii="Arial" w:hAnsi="Arial" w:cs="Arial"/>
          <w:sz w:val="24"/>
          <w:szCs w:val="24"/>
        </w:rPr>
        <w:t xml:space="preserve">na prechodné obdobie nateraz rátajú s národnými obálkami, ako sú nastavené v návrhu na viacročný finančný rámec SPP z júna 2018. Je tiež pravdepodobné, že sa budú meniť, pretože viaceré členské štáty namietajú voči celkovému kráteniu rozpočtu, </w:t>
      </w:r>
      <w:r w:rsidR="00CD1B77">
        <w:rPr>
          <w:rFonts w:ascii="Arial" w:hAnsi="Arial" w:cs="Arial"/>
          <w:sz w:val="24"/>
          <w:szCs w:val="24"/>
        </w:rPr>
        <w:t xml:space="preserve">ako </w:t>
      </w:r>
      <w:r>
        <w:rPr>
          <w:rFonts w:ascii="Arial" w:hAnsi="Arial" w:cs="Arial"/>
          <w:sz w:val="24"/>
          <w:szCs w:val="24"/>
        </w:rPr>
        <w:t>aj „</w:t>
      </w:r>
      <w:hyperlink r:id="rId12" w:history="1">
        <w:r w:rsidRPr="00146F74">
          <w:rPr>
            <w:rStyle w:val="Hypertextovprepojenie"/>
            <w:rFonts w:ascii="Arial" w:hAnsi="Arial" w:cs="Arial"/>
            <w:sz w:val="24"/>
            <w:szCs w:val="24"/>
          </w:rPr>
          <w:t>externej konvergencii</w:t>
        </w:r>
      </w:hyperlink>
      <w:r>
        <w:rPr>
          <w:rFonts w:ascii="Arial" w:hAnsi="Arial" w:cs="Arial"/>
          <w:sz w:val="24"/>
          <w:szCs w:val="24"/>
        </w:rPr>
        <w:t>“. Ak sa v rámci nich príjmu úpravy, patrične sa upravia aj návrhy v prechodnom období.</w:t>
      </w:r>
    </w:p>
    <w:p w:rsidR="00DB6E51" w:rsidRDefault="00DB6E51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6E51" w:rsidRDefault="00DB6E51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6E51" w:rsidRPr="00DB6E51" w:rsidRDefault="00DB6E51" w:rsidP="00E00D1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B6E51">
        <w:rPr>
          <w:rFonts w:ascii="Arial" w:hAnsi="Arial" w:cs="Arial"/>
          <w:i/>
          <w:sz w:val="24"/>
          <w:szCs w:val="24"/>
        </w:rPr>
        <w:lastRenderedPageBreak/>
        <w:t>BONUS: predbežný návrh podporných schém v SR v roku 2020 (zdroj: MPRV SR):</w:t>
      </w:r>
    </w:p>
    <w:p w:rsidR="00DB6E51" w:rsidRPr="00FA77BF" w:rsidRDefault="00DB6E51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1143" w:rsidRDefault="007D3410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>
            <wp:extent cx="6505575" cy="454342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tby SR 202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410" w:rsidRDefault="007D3410" w:rsidP="00E00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5928" w:rsidRDefault="00CA5294" w:rsidP="00FE5F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záver nášho informačného seriálu si Vás dovoľujeme požiadať, aby ste sa </w:t>
      </w:r>
      <w:r w:rsidRPr="00E073B7">
        <w:rPr>
          <w:rFonts w:ascii="Arial" w:hAnsi="Arial" w:cs="Arial"/>
          <w:b/>
          <w:sz w:val="24"/>
          <w:szCs w:val="24"/>
        </w:rPr>
        <w:t>aktívne zaujímali</w:t>
      </w:r>
      <w:r>
        <w:rPr>
          <w:rFonts w:ascii="Arial" w:hAnsi="Arial" w:cs="Arial"/>
          <w:sz w:val="24"/>
          <w:szCs w:val="24"/>
        </w:rPr>
        <w:t xml:space="preserve"> o podobu novej Spoločnej poľnohospodárskej politiky na ďalšie roky a prípadne predkladali svoje návrhy a pripomienky. </w:t>
      </w:r>
      <w:r w:rsidRPr="00E073B7">
        <w:rPr>
          <w:rFonts w:ascii="Arial" w:hAnsi="Arial" w:cs="Arial"/>
          <w:b/>
          <w:sz w:val="24"/>
          <w:szCs w:val="24"/>
        </w:rPr>
        <w:t>Zatiaľ je ešte všetko otvorené</w:t>
      </w:r>
      <w:r>
        <w:rPr>
          <w:rFonts w:ascii="Arial" w:hAnsi="Arial" w:cs="Arial"/>
          <w:sz w:val="24"/>
          <w:szCs w:val="24"/>
        </w:rPr>
        <w:t xml:space="preserve"> a možné nastaviť tak, aby to vyhovovalo čo najväčšiemu počtu skutočných, zodpovedných a poctivých poľnohospodárov </w:t>
      </w:r>
      <w:r w:rsidR="00E073B7">
        <w:rPr>
          <w:rFonts w:ascii="Arial" w:hAnsi="Arial" w:cs="Arial"/>
          <w:sz w:val="24"/>
          <w:szCs w:val="24"/>
        </w:rPr>
        <w:t xml:space="preserve">aj </w:t>
      </w:r>
      <w:r>
        <w:rPr>
          <w:rFonts w:ascii="Arial" w:hAnsi="Arial" w:cs="Arial"/>
          <w:sz w:val="24"/>
          <w:szCs w:val="24"/>
        </w:rPr>
        <w:t>na Slovensku!</w:t>
      </w:r>
    </w:p>
    <w:p w:rsidR="00B67A35" w:rsidRPr="006B0A29" w:rsidRDefault="00F432EB" w:rsidP="00AB34A6">
      <w:pPr>
        <w:jc w:val="both"/>
        <w:rPr>
          <w:rFonts w:ascii="Arial" w:hAnsi="Arial" w:cs="Arial"/>
          <w:i/>
          <w:sz w:val="24"/>
          <w:szCs w:val="24"/>
        </w:rPr>
      </w:pPr>
      <w:r w:rsidRPr="006B0A29">
        <w:rPr>
          <w:rFonts w:ascii="Arial" w:hAnsi="Arial" w:cs="Arial"/>
          <w:i/>
          <w:sz w:val="24"/>
          <w:szCs w:val="24"/>
        </w:rPr>
        <w:t xml:space="preserve">Zdroje: pri spracúvaní desiatich dielov nášho </w:t>
      </w:r>
      <w:proofErr w:type="spellStart"/>
      <w:r w:rsidRPr="006B0A29">
        <w:rPr>
          <w:rFonts w:ascii="Arial" w:hAnsi="Arial" w:cs="Arial"/>
          <w:i/>
          <w:sz w:val="24"/>
          <w:szCs w:val="24"/>
        </w:rPr>
        <w:t>infoseriálu</w:t>
      </w:r>
      <w:proofErr w:type="spellEnd"/>
      <w:r w:rsidRPr="006B0A29">
        <w:rPr>
          <w:rFonts w:ascii="Arial" w:hAnsi="Arial" w:cs="Arial"/>
          <w:i/>
          <w:sz w:val="24"/>
          <w:szCs w:val="24"/>
        </w:rPr>
        <w:t xml:space="preserve"> sme využívali informácie predovšetkým z internetových stránok Európskej Komisie, Európskeho Parlamentu, Európskej Rady a ďalších (ec.europa.eu; europarl.europa.eu; </w:t>
      </w:r>
      <w:r w:rsidR="006B0A29">
        <w:rPr>
          <w:rFonts w:ascii="Arial" w:hAnsi="Arial" w:cs="Arial"/>
          <w:i/>
          <w:sz w:val="24"/>
          <w:szCs w:val="24"/>
        </w:rPr>
        <w:t>consili</w:t>
      </w:r>
      <w:r w:rsidRPr="006B0A29">
        <w:rPr>
          <w:rFonts w:ascii="Arial" w:hAnsi="Arial" w:cs="Arial"/>
          <w:i/>
          <w:sz w:val="24"/>
          <w:szCs w:val="24"/>
        </w:rPr>
        <w:t xml:space="preserve">um.europa.eu; capreform.eu), ako aj z domácich zdrojov. </w:t>
      </w:r>
    </w:p>
    <w:p w:rsidR="00B67A35" w:rsidRPr="00E05B88" w:rsidRDefault="009A3BA8" w:rsidP="00B67A35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E05B88">
        <w:rPr>
          <w:rFonts w:ascii="Arial" w:hAnsi="Arial" w:cs="Arial"/>
          <w:i/>
          <w:sz w:val="24"/>
          <w:szCs w:val="24"/>
          <w:u w:val="single"/>
        </w:rPr>
        <w:t>SERIÁL obsahuje</w:t>
      </w:r>
      <w:r w:rsidR="00396C99">
        <w:rPr>
          <w:rFonts w:ascii="Arial" w:hAnsi="Arial" w:cs="Arial"/>
          <w:i/>
          <w:sz w:val="24"/>
          <w:szCs w:val="24"/>
          <w:u w:val="single"/>
        </w:rPr>
        <w:t xml:space="preserve"> tieto témy, ktoré nájdete za sebou </w:t>
      </w:r>
      <w:r w:rsidR="00E05B88" w:rsidRPr="00E05B88">
        <w:rPr>
          <w:rFonts w:ascii="Arial" w:hAnsi="Arial" w:cs="Arial"/>
          <w:i/>
          <w:sz w:val="24"/>
          <w:szCs w:val="24"/>
          <w:u w:val="single"/>
        </w:rPr>
        <w:t>na našej stránke:</w:t>
      </w:r>
      <w:r w:rsidR="00B67A35" w:rsidRPr="00E05B88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F45615" w:rsidRPr="00AD266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AD2669">
        <w:rPr>
          <w:rFonts w:ascii="Arial" w:hAnsi="Arial" w:cs="Arial"/>
          <w:b/>
          <w:i/>
          <w:sz w:val="24"/>
          <w:szCs w:val="24"/>
        </w:rPr>
        <w:t>Čo to je SPP EÚ a prečo sa mení?</w:t>
      </w:r>
    </w:p>
    <w:p w:rsidR="00F45615" w:rsidRPr="000F672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0F6729">
        <w:rPr>
          <w:rFonts w:ascii="Arial" w:hAnsi="Arial" w:cs="Arial"/>
          <w:b/>
          <w:i/>
          <w:sz w:val="24"/>
          <w:szCs w:val="24"/>
        </w:rPr>
        <w:t>9 hlavných cieľov SPP po 2021</w:t>
      </w:r>
    </w:p>
    <w:p w:rsidR="00F45615" w:rsidRPr="003C501D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3C501D">
        <w:rPr>
          <w:rFonts w:ascii="Arial" w:hAnsi="Arial" w:cs="Arial"/>
          <w:b/>
          <w:i/>
          <w:sz w:val="24"/>
          <w:szCs w:val="24"/>
        </w:rPr>
        <w:t>Zelená architektúra budúcej SPP</w:t>
      </w:r>
    </w:p>
    <w:p w:rsidR="00F45615" w:rsidRPr="00ED3F30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ED3F30">
        <w:rPr>
          <w:rFonts w:ascii="Arial" w:hAnsi="Arial" w:cs="Arial"/>
          <w:b/>
          <w:i/>
          <w:sz w:val="24"/>
          <w:szCs w:val="24"/>
        </w:rPr>
        <w:t>Finančný rámec pre EÚ a SR</w:t>
      </w:r>
    </w:p>
    <w:p w:rsidR="00F45615" w:rsidRPr="003F0DE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3F0DE9">
        <w:rPr>
          <w:rFonts w:ascii="Arial" w:hAnsi="Arial" w:cs="Arial"/>
          <w:b/>
          <w:i/>
          <w:sz w:val="24"/>
          <w:szCs w:val="24"/>
        </w:rPr>
        <w:t>Hlavné priame podpory I. piliera</w:t>
      </w:r>
    </w:p>
    <w:p w:rsidR="00F45615" w:rsidRPr="003F0DE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3F0DE9">
        <w:rPr>
          <w:rFonts w:ascii="Arial" w:hAnsi="Arial" w:cs="Arial"/>
          <w:b/>
          <w:i/>
          <w:sz w:val="24"/>
          <w:szCs w:val="24"/>
        </w:rPr>
        <w:t>Opatrenia II. piliera na rozvoj vidieka</w:t>
      </w:r>
    </w:p>
    <w:p w:rsidR="00F45615" w:rsidRPr="003F0DE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3F0DE9">
        <w:rPr>
          <w:rFonts w:ascii="Arial" w:hAnsi="Arial" w:cs="Arial"/>
          <w:b/>
          <w:i/>
          <w:sz w:val="24"/>
          <w:szCs w:val="24"/>
        </w:rPr>
        <w:t>Spoločná organizácia trhu s obilninami</w:t>
      </w:r>
    </w:p>
    <w:p w:rsidR="00F45615" w:rsidRPr="003F0DE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3F0DE9">
        <w:rPr>
          <w:rFonts w:ascii="Arial" w:hAnsi="Arial" w:cs="Arial"/>
          <w:b/>
          <w:i/>
          <w:sz w:val="24"/>
          <w:szCs w:val="24"/>
        </w:rPr>
        <w:t>Otvorené otázky (</w:t>
      </w:r>
      <w:proofErr w:type="spellStart"/>
      <w:r w:rsidRPr="003F0DE9">
        <w:rPr>
          <w:rFonts w:ascii="Arial" w:hAnsi="Arial" w:cs="Arial"/>
          <w:b/>
          <w:i/>
          <w:sz w:val="24"/>
          <w:szCs w:val="24"/>
        </w:rPr>
        <w:t>stropovanie</w:t>
      </w:r>
      <w:proofErr w:type="spellEnd"/>
      <w:r w:rsidRPr="003F0DE9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3F0DE9">
        <w:rPr>
          <w:rFonts w:ascii="Arial" w:hAnsi="Arial" w:cs="Arial"/>
          <w:b/>
          <w:i/>
          <w:sz w:val="24"/>
          <w:szCs w:val="24"/>
        </w:rPr>
        <w:t>redistribúcia</w:t>
      </w:r>
      <w:proofErr w:type="spellEnd"/>
      <w:r w:rsidRPr="003F0DE9">
        <w:rPr>
          <w:rFonts w:ascii="Arial" w:hAnsi="Arial" w:cs="Arial"/>
          <w:b/>
          <w:i/>
          <w:sz w:val="24"/>
          <w:szCs w:val="24"/>
        </w:rPr>
        <w:t>, definícia aktívneho farmára, atď.)</w:t>
      </w:r>
    </w:p>
    <w:p w:rsidR="00F45615" w:rsidRPr="003F0DE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3F0DE9">
        <w:rPr>
          <w:rFonts w:ascii="Arial" w:hAnsi="Arial" w:cs="Arial"/>
          <w:b/>
          <w:i/>
          <w:sz w:val="24"/>
          <w:szCs w:val="24"/>
        </w:rPr>
        <w:t>Časový rámec a očakávané kroky</w:t>
      </w:r>
    </w:p>
    <w:p w:rsidR="00CC4BBD" w:rsidRPr="003F0DE9" w:rsidRDefault="00F45615" w:rsidP="00F45615">
      <w:pPr>
        <w:pStyle w:val="Odsekzoznamu"/>
        <w:numPr>
          <w:ilvl w:val="0"/>
          <w:numId w:val="3"/>
        </w:numPr>
        <w:spacing w:line="256" w:lineRule="auto"/>
        <w:rPr>
          <w:rFonts w:ascii="Arial" w:hAnsi="Arial" w:cs="Arial"/>
          <w:b/>
          <w:i/>
          <w:sz w:val="24"/>
          <w:szCs w:val="24"/>
        </w:rPr>
      </w:pPr>
      <w:r w:rsidRPr="003F0DE9">
        <w:rPr>
          <w:rFonts w:ascii="Arial" w:hAnsi="Arial" w:cs="Arial"/>
          <w:b/>
          <w:i/>
          <w:sz w:val="24"/>
          <w:szCs w:val="24"/>
        </w:rPr>
        <w:t>Prechodné obdobie a najbližšie roky</w:t>
      </w:r>
    </w:p>
    <w:p w:rsidR="00370DFB" w:rsidRPr="00AB34A6" w:rsidRDefault="00370DFB" w:rsidP="00370DF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70DFB">
        <w:rPr>
          <w:rFonts w:ascii="Arial" w:hAnsi="Arial" w:cs="Arial"/>
          <w:i/>
          <w:sz w:val="24"/>
          <w:szCs w:val="24"/>
        </w:rPr>
        <w:t>Spracovala: Ing. Vladimíra Debnárov</w:t>
      </w:r>
      <w:r w:rsidR="00AB34A6">
        <w:rPr>
          <w:rFonts w:ascii="Arial" w:hAnsi="Arial" w:cs="Arial"/>
          <w:i/>
          <w:sz w:val="24"/>
          <w:szCs w:val="24"/>
        </w:rPr>
        <w:t>á, výkonná tajomníčka ZPO,</w:t>
      </w:r>
      <w:r w:rsidR="00D62F12">
        <w:rPr>
          <w:rFonts w:ascii="Arial" w:hAnsi="Arial" w:cs="Arial"/>
          <w:i/>
          <w:sz w:val="24"/>
          <w:szCs w:val="24"/>
        </w:rPr>
        <w:t xml:space="preserve"> 30.12</w:t>
      </w:r>
      <w:r>
        <w:rPr>
          <w:rFonts w:ascii="Arial" w:hAnsi="Arial" w:cs="Arial"/>
          <w:i/>
          <w:sz w:val="24"/>
          <w:szCs w:val="24"/>
        </w:rPr>
        <w:t>.</w:t>
      </w:r>
      <w:r w:rsidRPr="00370DFB">
        <w:rPr>
          <w:rFonts w:ascii="Arial" w:hAnsi="Arial" w:cs="Arial"/>
          <w:i/>
          <w:sz w:val="24"/>
          <w:szCs w:val="24"/>
        </w:rPr>
        <w:t xml:space="preserve"> 2019.</w:t>
      </w:r>
      <w:r w:rsidR="00E073B7">
        <w:rPr>
          <w:rFonts w:ascii="Arial" w:hAnsi="Arial" w:cs="Arial"/>
          <w:i/>
          <w:sz w:val="24"/>
          <w:szCs w:val="24"/>
        </w:rPr>
        <w:t xml:space="preserve"> KONIEC.</w:t>
      </w:r>
      <w:bookmarkStart w:id="0" w:name="_GoBack"/>
      <w:bookmarkEnd w:id="0"/>
    </w:p>
    <w:p w:rsidR="00370DFB" w:rsidRPr="00ED0F07" w:rsidRDefault="00ED3F30" w:rsidP="00ED0F07">
      <w:pPr>
        <w:spacing w:after="0" w:line="240" w:lineRule="auto"/>
        <w:jc w:val="both"/>
        <w:rPr>
          <w:rFonts w:ascii="Arial" w:hAnsi="Arial" w:cs="Arial"/>
          <w:b/>
          <w:i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 xml:space="preserve">Ak sa Vám páči naša práca a chcete sa stať členom Združenia pestovateľov obilnín, pošlite nám čo najskôr svoju </w:t>
      </w:r>
      <w:r w:rsidRPr="003F0DE9">
        <w:rPr>
          <w:rFonts w:ascii="Arial" w:hAnsi="Arial" w:cs="Arial"/>
          <w:b/>
          <w:i/>
          <w:color w:val="002060"/>
          <w:sz w:val="24"/>
          <w:szCs w:val="24"/>
        </w:rPr>
        <w:t>prihlášku za člena</w:t>
      </w:r>
      <w:r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>.</w:t>
      </w:r>
      <w:r w:rsidR="00370DFB" w:rsidRPr="00370DFB">
        <w:rPr>
          <w:rFonts w:ascii="Arial" w:hAnsi="Arial" w:cs="Arial"/>
          <w:b/>
          <w:i/>
          <w:color w:val="385623" w:themeColor="accent6" w:themeShade="80"/>
          <w:sz w:val="24"/>
          <w:szCs w:val="24"/>
        </w:rPr>
        <w:t xml:space="preserve"> Ďakujeme!</w:t>
      </w:r>
    </w:p>
    <w:sectPr w:rsidR="00370DFB" w:rsidRPr="00ED0F07" w:rsidSect="00120876">
      <w:pgSz w:w="11906" w:h="16838"/>
      <w:pgMar w:top="873" w:right="567" w:bottom="87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3242"/>
    <w:multiLevelType w:val="hybridMultilevel"/>
    <w:tmpl w:val="B65675E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7858"/>
    <w:multiLevelType w:val="hybridMultilevel"/>
    <w:tmpl w:val="1E8A19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6086"/>
    <w:multiLevelType w:val="hybridMultilevel"/>
    <w:tmpl w:val="6FF8FBE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4FEB"/>
    <w:multiLevelType w:val="hybridMultilevel"/>
    <w:tmpl w:val="649AC71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F57ACF"/>
    <w:multiLevelType w:val="multilevel"/>
    <w:tmpl w:val="58EA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95E25"/>
    <w:multiLevelType w:val="hybridMultilevel"/>
    <w:tmpl w:val="0972AB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D0583"/>
    <w:multiLevelType w:val="hybridMultilevel"/>
    <w:tmpl w:val="A6EC1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200A2"/>
    <w:multiLevelType w:val="hybridMultilevel"/>
    <w:tmpl w:val="2D440926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315A1"/>
    <w:multiLevelType w:val="hybridMultilevel"/>
    <w:tmpl w:val="36826F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47E64"/>
    <w:multiLevelType w:val="hybridMultilevel"/>
    <w:tmpl w:val="F3908322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5F3"/>
    <w:multiLevelType w:val="hybridMultilevel"/>
    <w:tmpl w:val="47C48F0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649C0"/>
    <w:multiLevelType w:val="hybridMultilevel"/>
    <w:tmpl w:val="3322F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10C13"/>
    <w:multiLevelType w:val="hybridMultilevel"/>
    <w:tmpl w:val="E964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3246A"/>
    <w:multiLevelType w:val="hybridMultilevel"/>
    <w:tmpl w:val="4AA2B62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62A93"/>
    <w:multiLevelType w:val="hybridMultilevel"/>
    <w:tmpl w:val="F9EC61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E2AD4"/>
    <w:multiLevelType w:val="hybridMultilevel"/>
    <w:tmpl w:val="07C8D5A6"/>
    <w:lvl w:ilvl="0" w:tplc="DADA7684">
      <w:start w:val="10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1"/>
  </w:num>
  <w:num w:numId="7">
    <w:abstractNumId w:val="12"/>
  </w:num>
  <w:num w:numId="8">
    <w:abstractNumId w:val="2"/>
  </w:num>
  <w:num w:numId="9">
    <w:abstractNumId w:val="0"/>
  </w:num>
  <w:num w:numId="10">
    <w:abstractNumId w:val="1"/>
  </w:num>
  <w:num w:numId="11">
    <w:abstractNumId w:val="13"/>
  </w:num>
  <w:num w:numId="12">
    <w:abstractNumId w:val="7"/>
  </w:num>
  <w:num w:numId="13">
    <w:abstractNumId w:val="9"/>
  </w:num>
  <w:num w:numId="14">
    <w:abstractNumId w:val="15"/>
  </w:num>
  <w:num w:numId="15">
    <w:abstractNumId w:val="4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BD"/>
    <w:rsid w:val="00006A48"/>
    <w:rsid w:val="00011C30"/>
    <w:rsid w:val="0002252A"/>
    <w:rsid w:val="00055928"/>
    <w:rsid w:val="00094A98"/>
    <w:rsid w:val="000F0161"/>
    <w:rsid w:val="000F47FC"/>
    <w:rsid w:val="000F6729"/>
    <w:rsid w:val="00120876"/>
    <w:rsid w:val="0012484F"/>
    <w:rsid w:val="00146F74"/>
    <w:rsid w:val="0019318E"/>
    <w:rsid w:val="001A23D9"/>
    <w:rsid w:val="001B44BB"/>
    <w:rsid w:val="001F2380"/>
    <w:rsid w:val="00205EF8"/>
    <w:rsid w:val="00263D8F"/>
    <w:rsid w:val="00291A18"/>
    <w:rsid w:val="002B2E05"/>
    <w:rsid w:val="002B62F0"/>
    <w:rsid w:val="002C3F75"/>
    <w:rsid w:val="002C5739"/>
    <w:rsid w:val="002E4D9C"/>
    <w:rsid w:val="002F5655"/>
    <w:rsid w:val="00331261"/>
    <w:rsid w:val="00331676"/>
    <w:rsid w:val="00344B7C"/>
    <w:rsid w:val="0034552F"/>
    <w:rsid w:val="00356EDF"/>
    <w:rsid w:val="00370DFB"/>
    <w:rsid w:val="00384FC9"/>
    <w:rsid w:val="00396C99"/>
    <w:rsid w:val="003C501D"/>
    <w:rsid w:val="003D30AB"/>
    <w:rsid w:val="003E4331"/>
    <w:rsid w:val="003F0DE9"/>
    <w:rsid w:val="003F17CB"/>
    <w:rsid w:val="00410171"/>
    <w:rsid w:val="0042586A"/>
    <w:rsid w:val="004A5E6A"/>
    <w:rsid w:val="004C0166"/>
    <w:rsid w:val="004C6E85"/>
    <w:rsid w:val="00552C93"/>
    <w:rsid w:val="00595BEF"/>
    <w:rsid w:val="005A1143"/>
    <w:rsid w:val="005A4220"/>
    <w:rsid w:val="005B3193"/>
    <w:rsid w:val="005B5FD9"/>
    <w:rsid w:val="005B68BD"/>
    <w:rsid w:val="005D3EB0"/>
    <w:rsid w:val="005D4615"/>
    <w:rsid w:val="0064565A"/>
    <w:rsid w:val="0068701A"/>
    <w:rsid w:val="00694213"/>
    <w:rsid w:val="006A696F"/>
    <w:rsid w:val="006B0A29"/>
    <w:rsid w:val="006B4B90"/>
    <w:rsid w:val="006B598A"/>
    <w:rsid w:val="006F3BFA"/>
    <w:rsid w:val="006F7A59"/>
    <w:rsid w:val="00702CFB"/>
    <w:rsid w:val="007058C5"/>
    <w:rsid w:val="00725690"/>
    <w:rsid w:val="00732AA0"/>
    <w:rsid w:val="00755E99"/>
    <w:rsid w:val="0077136F"/>
    <w:rsid w:val="00783DAA"/>
    <w:rsid w:val="007A4076"/>
    <w:rsid w:val="007A4806"/>
    <w:rsid w:val="007B7C71"/>
    <w:rsid w:val="007D3410"/>
    <w:rsid w:val="007D40B2"/>
    <w:rsid w:val="007F155F"/>
    <w:rsid w:val="00812CF5"/>
    <w:rsid w:val="00886CFD"/>
    <w:rsid w:val="0089319B"/>
    <w:rsid w:val="008A0F69"/>
    <w:rsid w:val="008A1A06"/>
    <w:rsid w:val="008A70A0"/>
    <w:rsid w:val="008C0D10"/>
    <w:rsid w:val="008C4F91"/>
    <w:rsid w:val="008C54EF"/>
    <w:rsid w:val="008C56BC"/>
    <w:rsid w:val="008E5B6F"/>
    <w:rsid w:val="00900131"/>
    <w:rsid w:val="009011C4"/>
    <w:rsid w:val="0091648C"/>
    <w:rsid w:val="0092397C"/>
    <w:rsid w:val="00936989"/>
    <w:rsid w:val="00956D47"/>
    <w:rsid w:val="0096138F"/>
    <w:rsid w:val="00972CC6"/>
    <w:rsid w:val="009774EF"/>
    <w:rsid w:val="00990C3A"/>
    <w:rsid w:val="00993F9C"/>
    <w:rsid w:val="009A3BA8"/>
    <w:rsid w:val="009F588E"/>
    <w:rsid w:val="00A04604"/>
    <w:rsid w:val="00A20926"/>
    <w:rsid w:val="00A36C42"/>
    <w:rsid w:val="00A84900"/>
    <w:rsid w:val="00AB1E49"/>
    <w:rsid w:val="00AB34A6"/>
    <w:rsid w:val="00AC7E8D"/>
    <w:rsid w:val="00AD2669"/>
    <w:rsid w:val="00AD5DD8"/>
    <w:rsid w:val="00B11476"/>
    <w:rsid w:val="00B23E06"/>
    <w:rsid w:val="00B3388D"/>
    <w:rsid w:val="00B44B79"/>
    <w:rsid w:val="00B46662"/>
    <w:rsid w:val="00B67A35"/>
    <w:rsid w:val="00B9725F"/>
    <w:rsid w:val="00BC5001"/>
    <w:rsid w:val="00BD1FAA"/>
    <w:rsid w:val="00BF4D73"/>
    <w:rsid w:val="00C6665E"/>
    <w:rsid w:val="00CA5294"/>
    <w:rsid w:val="00CB427B"/>
    <w:rsid w:val="00CB6A2D"/>
    <w:rsid w:val="00CC08C2"/>
    <w:rsid w:val="00CC4BBD"/>
    <w:rsid w:val="00CD1B77"/>
    <w:rsid w:val="00CE2BF0"/>
    <w:rsid w:val="00D12AE3"/>
    <w:rsid w:val="00D2703E"/>
    <w:rsid w:val="00D62F12"/>
    <w:rsid w:val="00D841CB"/>
    <w:rsid w:val="00D90158"/>
    <w:rsid w:val="00DA2CA3"/>
    <w:rsid w:val="00DB6E51"/>
    <w:rsid w:val="00DE102C"/>
    <w:rsid w:val="00E00D1B"/>
    <w:rsid w:val="00E01F29"/>
    <w:rsid w:val="00E0437D"/>
    <w:rsid w:val="00E05B88"/>
    <w:rsid w:val="00E073B7"/>
    <w:rsid w:val="00E12199"/>
    <w:rsid w:val="00E46B38"/>
    <w:rsid w:val="00E8188F"/>
    <w:rsid w:val="00E94752"/>
    <w:rsid w:val="00EC6D78"/>
    <w:rsid w:val="00ED0F07"/>
    <w:rsid w:val="00ED3F30"/>
    <w:rsid w:val="00EE66E0"/>
    <w:rsid w:val="00EF3FD9"/>
    <w:rsid w:val="00F263DE"/>
    <w:rsid w:val="00F36C83"/>
    <w:rsid w:val="00F36DE8"/>
    <w:rsid w:val="00F432EB"/>
    <w:rsid w:val="00F45615"/>
    <w:rsid w:val="00F54CDC"/>
    <w:rsid w:val="00F67237"/>
    <w:rsid w:val="00FA77BF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EBD40-FF55-48B1-80AC-1BA39FB8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E2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4BBD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CE2BF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E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E2BF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F4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50\Downloads\PART-2019-576260V1.pdf" TargetMode="Externa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file:///C:\Users\450\Downloads\PART-2019-565825V1.pdf" TargetMode="External"/><Relationship Id="rId12" Type="http://schemas.openxmlformats.org/officeDocument/2006/relationships/hyperlink" Target="https://www.obilninari.sk/2019/12/17/informacny-serial-zpo-8-ca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450\Downloads\PART-2019-565839V1.pdf" TargetMode="External"/><Relationship Id="rId11" Type="http://schemas.openxmlformats.org/officeDocument/2006/relationships/image" Target="media/image1.jpg"/><Relationship Id="rId5" Type="http://schemas.openxmlformats.org/officeDocument/2006/relationships/hyperlink" Target="https://ec.europa.eu/info/law/better-regulation/initiatives/com-2019-581_e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obilninari.sk/2019/11/20/informacny-serial-zpo-4-ca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450\Downloads\PART-2019-576291V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30</cp:revision>
  <dcterms:created xsi:type="dcterms:W3CDTF">2019-11-20T13:17:00Z</dcterms:created>
  <dcterms:modified xsi:type="dcterms:W3CDTF">2019-12-30T07:16:00Z</dcterms:modified>
</cp:coreProperties>
</file>